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4、投标人必须具有医疗器械生产许可证或医疗器械经营企业许可证；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5、投标人所投设备必须具有《中华人民共和国医疗器械注册证》，进口设备需提供《进口医疗器械注册证》；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6、投标人必须是所投产品的制造商或代理商，代理商投标须提供制造商对本项目的专项授权；不接受品牌完全相同的两个投标人同时投标；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7、信用中国查询截图</w:t>
      </w: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bookmarkStart w:id="0" w:name="_GoBack"/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5EF714A"/>
    <w:rsid w:val="25FB1421"/>
    <w:rsid w:val="261A4E69"/>
    <w:rsid w:val="281D6FF8"/>
    <w:rsid w:val="2B5C5FC6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6771D66"/>
    <w:rsid w:val="577F481A"/>
    <w:rsid w:val="58270938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2022-10-24T00:25:25Z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8EE0AD1DD326420DB7BC467ABFD19730</vt:lpwstr>
  </property>
</Properties>
</file>